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E655E30" w:rsidR="00D6147A" w:rsidRDefault="00677594" w:rsidP="00677594">
      <w:hyperlink r:id="rId6" w:history="1">
        <w:r w:rsidRPr="0001117F">
          <w:rPr>
            <w:rStyle w:val="Collegamentoipertestuale"/>
          </w:rPr>
          <w:t>https://www.larena.it/argomenti/economia/economia-nazionale/massimo-mocio-confermato-presidente-di-assiom-forex-1.12590471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77594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56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rena.it/argomenti/economia/economia-nazionale/massimo-mocio-confermato-presidente-di-assiom-forex-1.125904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2025-02-18T16:18:00Z</dcterms:created>
  <dcterms:modified xsi:type="dcterms:W3CDTF">2025-02-18T16:25:00Z</dcterms:modified>
</cp:coreProperties>
</file>